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C2B39" w14:textId="01E2706C" w:rsidR="00A154F4" w:rsidRPr="00791637" w:rsidRDefault="00A154F4" w:rsidP="00A154F4">
      <w:pPr>
        <w:pBdr>
          <w:bottom w:val="single" w:sz="6" w:space="1" w:color="auto"/>
        </w:pBdr>
        <w:spacing w:line="360" w:lineRule="auto"/>
        <w:rPr>
          <w:rFonts w:ascii="Verdana" w:eastAsia="Times New Roman" w:hAnsi="Verdana" w:cs="Arial"/>
          <w:b/>
          <w:color w:val="222222"/>
          <w:sz w:val="18"/>
          <w:szCs w:val="18"/>
          <w:shd w:val="clear" w:color="auto" w:fill="FFFFFF"/>
          <w:lang w:val="fr-FR"/>
        </w:rPr>
      </w:pPr>
      <w:r w:rsidRPr="00791637">
        <w:rPr>
          <w:rFonts w:ascii="Verdana" w:eastAsia="Times New Roman" w:hAnsi="Verdana" w:cs="Arial"/>
          <w:noProof/>
          <w:color w:val="222222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BD50F00" wp14:editId="3D8F6791">
            <wp:simplePos x="0" y="0"/>
            <wp:positionH relativeFrom="column">
              <wp:posOffset>5943600</wp:posOffset>
            </wp:positionH>
            <wp:positionV relativeFrom="paragraph">
              <wp:posOffset>-228600</wp:posOffset>
            </wp:positionV>
            <wp:extent cx="571500" cy="1013460"/>
            <wp:effectExtent l="0" t="0" r="1270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NEX LOGO PRINCIPAL VERTICAL POSITIF CONTOU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2D9">
        <w:rPr>
          <w:rFonts w:ascii="Verdana" w:eastAsia="Times New Roman" w:hAnsi="Verdana" w:cs="Arial"/>
          <w:b/>
          <w:color w:val="222222"/>
          <w:sz w:val="18"/>
          <w:szCs w:val="18"/>
          <w:shd w:val="clear" w:color="auto" w:fill="FFFFFF"/>
          <w:lang w:val="fr-FR"/>
        </w:rPr>
        <w:softHyphen/>
      </w:r>
      <w:r w:rsidR="009112D9">
        <w:rPr>
          <w:rFonts w:ascii="Verdana" w:eastAsia="Times New Roman" w:hAnsi="Verdana" w:cs="Arial"/>
          <w:b/>
          <w:color w:val="222222"/>
          <w:sz w:val="18"/>
          <w:szCs w:val="18"/>
          <w:shd w:val="clear" w:color="auto" w:fill="FFFFFF"/>
          <w:lang w:val="fr-FR"/>
        </w:rPr>
        <w:softHyphen/>
      </w:r>
      <w:r w:rsidRPr="00791637">
        <w:rPr>
          <w:rFonts w:ascii="Verdana" w:eastAsia="Times New Roman" w:hAnsi="Verdana" w:cs="Arial"/>
          <w:b/>
          <w:color w:val="222222"/>
          <w:sz w:val="18"/>
          <w:szCs w:val="18"/>
          <w:shd w:val="clear" w:color="auto" w:fill="FFFFFF"/>
          <w:lang w:val="fr-FR"/>
        </w:rPr>
        <w:t xml:space="preserve">MAIRIE </w:t>
      </w:r>
      <w:r w:rsidRPr="00791637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  <w:t>DE</w:t>
      </w:r>
      <w:r w:rsidRPr="00791637">
        <w:rPr>
          <w:rFonts w:ascii="Verdana" w:eastAsia="Times New Roman" w:hAnsi="Verdana" w:cs="Arial"/>
          <w:b/>
          <w:color w:val="222222"/>
          <w:sz w:val="18"/>
          <w:szCs w:val="18"/>
          <w:shd w:val="clear" w:color="auto" w:fill="FFFFFF"/>
          <w:lang w:val="fr-FR"/>
        </w:rPr>
        <w:t xml:space="preserve"> BERNEX</w:t>
      </w:r>
    </w:p>
    <w:p w14:paraId="74032BDB" w14:textId="77777777" w:rsidR="00A154F4" w:rsidRPr="00791637" w:rsidRDefault="00A154F4" w:rsidP="00A154F4">
      <w:pPr>
        <w:spacing w:line="360" w:lineRule="auto"/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</w:pPr>
    </w:p>
    <w:p w14:paraId="38B65E08" w14:textId="77777777" w:rsidR="00A154F4" w:rsidRPr="00791637" w:rsidRDefault="00A154F4" w:rsidP="00A154F4">
      <w:pPr>
        <w:spacing w:line="360" w:lineRule="auto"/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</w:pPr>
      <w:r w:rsidRPr="00791637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  <w:t>81, route de la mairie – 74500 BERNEX</w:t>
      </w:r>
    </w:p>
    <w:p w14:paraId="4E0F842F" w14:textId="4B6B33DF" w:rsidR="00A154F4" w:rsidRDefault="00A4077A" w:rsidP="00A154F4">
      <w:pPr>
        <w:spacing w:line="360" w:lineRule="auto"/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</w:pPr>
      <w:r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  <w:t>04.50.73.60.40</w:t>
      </w:r>
      <w:bookmarkStart w:id="0" w:name="_GoBack"/>
      <w:bookmarkEnd w:id="0"/>
      <w:r w:rsidR="00A154F4" w:rsidRPr="00791637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  <w:t xml:space="preserve"> – contact@mairie-bernex.net</w:t>
      </w:r>
    </w:p>
    <w:p w14:paraId="24EA8921" w14:textId="77777777" w:rsidR="00626C47" w:rsidRPr="00791637" w:rsidRDefault="00626C47" w:rsidP="00A154F4">
      <w:pPr>
        <w:spacing w:line="360" w:lineRule="auto"/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</w:pPr>
    </w:p>
    <w:p w14:paraId="535F0E4A" w14:textId="2F0519FB" w:rsidR="00A154F4" w:rsidRPr="0002400A" w:rsidRDefault="006C2F88" w:rsidP="0002400A">
      <w:pPr>
        <w:spacing w:line="360" w:lineRule="auto"/>
        <w:jc w:val="right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 xml:space="preserve">Bernex, </w:t>
      </w:r>
      <w:r w:rsidR="001B11B9">
        <w:rPr>
          <w:rFonts w:ascii="Verdana" w:hAnsi="Verdana"/>
          <w:sz w:val="18"/>
          <w:szCs w:val="18"/>
          <w:lang w:val="fr-FR"/>
        </w:rPr>
        <w:t xml:space="preserve">le </w:t>
      </w:r>
      <w:r w:rsidR="00494BDE">
        <w:rPr>
          <w:rFonts w:ascii="Verdana" w:hAnsi="Verdana"/>
          <w:sz w:val="18"/>
          <w:szCs w:val="18"/>
          <w:lang w:val="fr-FR"/>
        </w:rPr>
        <w:t>13 avril</w:t>
      </w:r>
      <w:r w:rsidR="0043090D">
        <w:rPr>
          <w:rFonts w:ascii="Verdana" w:hAnsi="Verdana"/>
          <w:sz w:val="18"/>
          <w:szCs w:val="18"/>
          <w:lang w:val="fr-FR"/>
        </w:rPr>
        <w:t xml:space="preserve"> 2021</w:t>
      </w:r>
    </w:p>
    <w:p w14:paraId="00B41796" w14:textId="77777777" w:rsidR="00A154F4" w:rsidRPr="00791637" w:rsidRDefault="00A154F4" w:rsidP="00A154F4">
      <w:pPr>
        <w:spacing w:line="360" w:lineRule="auto"/>
        <w:ind w:right="-489"/>
        <w:jc w:val="both"/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  <w:lang w:val="fr-FR"/>
        </w:rPr>
      </w:pPr>
    </w:p>
    <w:p w14:paraId="754CB2DD" w14:textId="3ED61B49" w:rsidR="00A638D4" w:rsidRPr="00A638D4" w:rsidRDefault="00EF1F51" w:rsidP="0043090D">
      <w:pPr>
        <w:spacing w:line="360" w:lineRule="auto"/>
        <w:jc w:val="center"/>
        <w:rPr>
          <w:rFonts w:ascii="Verdana" w:hAnsi="Verdana"/>
          <w:sz w:val="18"/>
          <w:szCs w:val="18"/>
          <w:lang w:val="fr-FR"/>
        </w:rPr>
      </w:pPr>
      <w:r w:rsidRPr="00791637">
        <w:rPr>
          <w:rFonts w:ascii="Verdana" w:hAnsi="Verdana"/>
          <w:b/>
          <w:sz w:val="18"/>
          <w:szCs w:val="18"/>
          <w:lang w:val="fr-FR"/>
        </w:rPr>
        <w:t>Com</w:t>
      </w:r>
      <w:r w:rsidR="00AC6848">
        <w:rPr>
          <w:rFonts w:ascii="Verdana" w:hAnsi="Verdana"/>
          <w:b/>
          <w:sz w:val="18"/>
          <w:szCs w:val="18"/>
          <w:lang w:val="fr-FR"/>
        </w:rPr>
        <w:t xml:space="preserve">pte rendu du conseil municipal </w:t>
      </w:r>
      <w:r w:rsidR="00494BDE">
        <w:rPr>
          <w:rFonts w:ascii="Verdana" w:hAnsi="Verdana"/>
          <w:b/>
          <w:sz w:val="18"/>
          <w:szCs w:val="18"/>
          <w:lang w:val="fr-FR"/>
        </w:rPr>
        <w:t xml:space="preserve">du 13 avril </w:t>
      </w:r>
      <w:r w:rsidR="0043090D">
        <w:rPr>
          <w:rFonts w:ascii="Verdana" w:hAnsi="Verdana"/>
          <w:b/>
          <w:sz w:val="18"/>
          <w:szCs w:val="18"/>
          <w:lang w:val="fr-FR"/>
        </w:rPr>
        <w:t>2021</w:t>
      </w:r>
    </w:p>
    <w:p w14:paraId="16EC2D5B" w14:textId="77777777" w:rsidR="001B11B9" w:rsidRDefault="001B11B9" w:rsidP="001B11B9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71C28BCC" w14:textId="77777777" w:rsidR="00494BDE" w:rsidRDefault="00494BDE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34A2ED62" w14:textId="77777777" w:rsidR="00494BDE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Le Conseil Municipal de la commune de Bernex, dûment convoqué, s’est réuni en session</w:t>
      </w:r>
      <w:r w:rsidR="00494BDE">
        <w:rPr>
          <w:rFonts w:ascii="Verdana" w:hAnsi="Verdana"/>
          <w:sz w:val="18"/>
          <w:szCs w:val="18"/>
          <w:lang w:val="fr-FR"/>
        </w:rPr>
        <w:t xml:space="preserve"> </w:t>
      </w:r>
      <w:r w:rsidRPr="00BD7C97">
        <w:rPr>
          <w:rFonts w:ascii="Verdana" w:hAnsi="Verdana"/>
          <w:sz w:val="18"/>
          <w:szCs w:val="18"/>
          <w:lang w:val="fr-FR"/>
        </w:rPr>
        <w:t>ordinaire, à la mairie, sous la présidence de Monsieur Pierre André Jacquier, Maire.</w:t>
      </w:r>
    </w:p>
    <w:p w14:paraId="14902C63" w14:textId="6979860A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Date de convocation du conseil municipal : 9 Avril 2021</w:t>
      </w:r>
    </w:p>
    <w:p w14:paraId="7A037C25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Nombre de conseillers en exercice : 15</w:t>
      </w:r>
    </w:p>
    <w:p w14:paraId="72BEA1C2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Présents : Pierre André Jacquier, Dorothée Tupin, Jean-Yves Guegan, Marie-Claire Sonnois,</w:t>
      </w:r>
    </w:p>
    <w:p w14:paraId="1650754F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Emilien Abgrall, Amandine Dutruel, Laurine Carraud, Sylvie Trincaz, Stéphane Vesin,</w:t>
      </w:r>
    </w:p>
    <w:p w14:paraId="27B1057B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Richard Martinez, Marie Perard, Edouard Betemps, Sandie Masson, Jean-Jacques Bertoni.</w:t>
      </w:r>
    </w:p>
    <w:p w14:paraId="4D2C18D9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Formant la majorité des membres en exercice.</w:t>
      </w:r>
    </w:p>
    <w:p w14:paraId="2FC21C84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Absents : Pierrarnaud Christin (excusé)</w:t>
      </w:r>
    </w:p>
    <w:p w14:paraId="44CCCC12" w14:textId="77777777" w:rsid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M. Jean-Yves Guegan a été désigné comme secrétaire de séance.</w:t>
      </w:r>
    </w:p>
    <w:p w14:paraId="2D42A504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7FBD9964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Le conseil municipal,</w:t>
      </w:r>
    </w:p>
    <w:p w14:paraId="70C1462B" w14:textId="77777777" w:rsid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27B27CC7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1) Décide de ne pas augmenter les taux d’imposition des taxes directes locales et de les</w:t>
      </w:r>
    </w:p>
    <w:p w14:paraId="0569A40E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fixer comme suit :</w:t>
      </w:r>
    </w:p>
    <w:p w14:paraId="40C764AF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713A6DEC" w14:textId="1852C00A" w:rsidR="00BD7C97" w:rsidRPr="00BD7C97" w:rsidRDefault="00494BDE" w:rsidP="00494BDE">
      <w:pPr>
        <w:spacing w:line="360" w:lineRule="auto"/>
        <w:ind w:left="2160" w:firstLine="720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 xml:space="preserve">2020 </w:t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  <w:t>2021</w:t>
      </w:r>
    </w:p>
    <w:p w14:paraId="6997D990" w14:textId="7B844AD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 xml:space="preserve">Taxe foncier bâti </w:t>
      </w:r>
      <w:r w:rsidR="00494BDE">
        <w:rPr>
          <w:rFonts w:ascii="Verdana" w:hAnsi="Verdana"/>
          <w:sz w:val="18"/>
          <w:szCs w:val="18"/>
          <w:lang w:val="fr-FR"/>
        </w:rPr>
        <w:tab/>
      </w:r>
      <w:r w:rsidR="00494BDE">
        <w:rPr>
          <w:rFonts w:ascii="Verdana" w:hAnsi="Verdana"/>
          <w:sz w:val="18"/>
          <w:szCs w:val="18"/>
          <w:lang w:val="fr-FR"/>
        </w:rPr>
        <w:tab/>
      </w:r>
      <w:r w:rsidRPr="00BD7C97">
        <w:rPr>
          <w:rFonts w:ascii="Verdana" w:hAnsi="Verdana"/>
          <w:sz w:val="18"/>
          <w:szCs w:val="18"/>
          <w:lang w:val="fr-FR"/>
        </w:rPr>
        <w:t xml:space="preserve">25,49 % </w:t>
      </w:r>
      <w:r w:rsidR="00494BDE">
        <w:rPr>
          <w:rFonts w:ascii="Verdana" w:hAnsi="Verdana"/>
          <w:sz w:val="18"/>
          <w:szCs w:val="18"/>
          <w:lang w:val="fr-FR"/>
        </w:rPr>
        <w:tab/>
      </w:r>
      <w:r w:rsidRPr="00BD7C97">
        <w:rPr>
          <w:rFonts w:ascii="Verdana" w:hAnsi="Verdana"/>
          <w:sz w:val="18"/>
          <w:szCs w:val="18"/>
          <w:lang w:val="fr-FR"/>
        </w:rPr>
        <w:t>25,49 %</w:t>
      </w:r>
    </w:p>
    <w:p w14:paraId="018259A2" w14:textId="2445DA7F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 xml:space="preserve">Part communale </w:t>
      </w:r>
      <w:r w:rsidR="00494BDE">
        <w:rPr>
          <w:rFonts w:ascii="Verdana" w:hAnsi="Verdana"/>
          <w:sz w:val="18"/>
          <w:szCs w:val="18"/>
          <w:lang w:val="fr-FR"/>
        </w:rPr>
        <w:tab/>
      </w:r>
      <w:r w:rsidR="00494BDE">
        <w:rPr>
          <w:rFonts w:ascii="Verdana" w:hAnsi="Verdana"/>
          <w:sz w:val="18"/>
          <w:szCs w:val="18"/>
          <w:lang w:val="fr-FR"/>
        </w:rPr>
        <w:tab/>
      </w:r>
      <w:r w:rsidRPr="00BD7C97">
        <w:rPr>
          <w:rFonts w:ascii="Verdana" w:hAnsi="Verdana"/>
          <w:sz w:val="18"/>
          <w:szCs w:val="18"/>
          <w:lang w:val="fr-FR"/>
        </w:rPr>
        <w:t>13,46 %</w:t>
      </w:r>
      <w:r w:rsidR="008106ED">
        <w:rPr>
          <w:rFonts w:ascii="Verdana" w:hAnsi="Verdana"/>
          <w:sz w:val="18"/>
          <w:szCs w:val="18"/>
          <w:lang w:val="fr-FR"/>
        </w:rPr>
        <w:tab/>
      </w:r>
      <w:r w:rsidR="002D72A0">
        <w:rPr>
          <w:rFonts w:ascii="Verdana" w:hAnsi="Verdana"/>
          <w:sz w:val="18"/>
          <w:szCs w:val="18"/>
          <w:lang w:val="fr-FR"/>
        </w:rPr>
        <w:t>-</w:t>
      </w:r>
    </w:p>
    <w:p w14:paraId="00B55A0C" w14:textId="26DC0EE2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 xml:space="preserve">Part départementale </w:t>
      </w:r>
      <w:r w:rsidR="00494BDE">
        <w:rPr>
          <w:rFonts w:ascii="Verdana" w:hAnsi="Verdana"/>
          <w:sz w:val="18"/>
          <w:szCs w:val="18"/>
          <w:lang w:val="fr-FR"/>
        </w:rPr>
        <w:tab/>
      </w:r>
      <w:r w:rsidR="00494BDE">
        <w:rPr>
          <w:rFonts w:ascii="Verdana" w:hAnsi="Verdana"/>
          <w:sz w:val="18"/>
          <w:szCs w:val="18"/>
          <w:lang w:val="fr-FR"/>
        </w:rPr>
        <w:tab/>
      </w:r>
      <w:r w:rsidRPr="00BD7C97">
        <w:rPr>
          <w:rFonts w:ascii="Verdana" w:hAnsi="Verdana"/>
          <w:sz w:val="18"/>
          <w:szCs w:val="18"/>
          <w:lang w:val="fr-FR"/>
        </w:rPr>
        <w:t>12,03 %</w:t>
      </w:r>
      <w:r w:rsidR="002D72A0">
        <w:rPr>
          <w:rFonts w:ascii="Verdana" w:hAnsi="Verdana"/>
          <w:sz w:val="18"/>
          <w:szCs w:val="18"/>
          <w:lang w:val="fr-FR"/>
        </w:rPr>
        <w:tab/>
        <w:t>-</w:t>
      </w:r>
    </w:p>
    <w:p w14:paraId="484C28B2" w14:textId="7A6CFFD0" w:rsid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 xml:space="preserve">Taxe foncier non bâti </w:t>
      </w:r>
      <w:r w:rsidR="00494BDE">
        <w:rPr>
          <w:rFonts w:ascii="Verdana" w:hAnsi="Verdana"/>
          <w:sz w:val="18"/>
          <w:szCs w:val="18"/>
          <w:lang w:val="fr-FR"/>
        </w:rPr>
        <w:tab/>
      </w:r>
      <w:r w:rsidR="00494BDE">
        <w:rPr>
          <w:rFonts w:ascii="Verdana" w:hAnsi="Verdana"/>
          <w:sz w:val="18"/>
          <w:szCs w:val="18"/>
          <w:lang w:val="fr-FR"/>
        </w:rPr>
        <w:tab/>
      </w:r>
      <w:r w:rsidRPr="00BD7C97">
        <w:rPr>
          <w:rFonts w:ascii="Verdana" w:hAnsi="Verdana"/>
          <w:sz w:val="18"/>
          <w:szCs w:val="18"/>
          <w:lang w:val="fr-FR"/>
        </w:rPr>
        <w:t xml:space="preserve">99,03 % </w:t>
      </w:r>
      <w:r w:rsidR="00494BDE">
        <w:rPr>
          <w:rFonts w:ascii="Verdana" w:hAnsi="Verdana"/>
          <w:sz w:val="18"/>
          <w:szCs w:val="18"/>
          <w:lang w:val="fr-FR"/>
        </w:rPr>
        <w:tab/>
      </w:r>
      <w:r w:rsidRPr="00BD7C97">
        <w:rPr>
          <w:rFonts w:ascii="Verdana" w:hAnsi="Verdana"/>
          <w:sz w:val="18"/>
          <w:szCs w:val="18"/>
          <w:lang w:val="fr-FR"/>
        </w:rPr>
        <w:t>99,03 %</w:t>
      </w:r>
    </w:p>
    <w:p w14:paraId="486D898C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3BCA7AAE" w14:textId="72906598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 xml:space="preserve">2) Adopte le projet de création d’un mini-golf à </w:t>
      </w:r>
      <w:r w:rsidR="00494BDE">
        <w:rPr>
          <w:rFonts w:ascii="Verdana" w:hAnsi="Verdana"/>
          <w:sz w:val="18"/>
          <w:szCs w:val="18"/>
          <w:lang w:val="fr-FR"/>
        </w:rPr>
        <w:t xml:space="preserve">but touristique 4 saisons et de </w:t>
      </w:r>
      <w:r w:rsidRPr="00BD7C97">
        <w:rPr>
          <w:rFonts w:ascii="Verdana" w:hAnsi="Verdana"/>
          <w:sz w:val="18"/>
          <w:szCs w:val="18"/>
          <w:lang w:val="fr-FR"/>
        </w:rPr>
        <w:t>régénération d’un court de tennis pour un montant total estimatif de 21.780,00 euros</w:t>
      </w:r>
      <w:r w:rsidR="00494BDE">
        <w:rPr>
          <w:rFonts w:ascii="Verdana" w:hAnsi="Verdana"/>
          <w:sz w:val="18"/>
          <w:szCs w:val="18"/>
          <w:lang w:val="fr-FR"/>
        </w:rPr>
        <w:t xml:space="preserve"> </w:t>
      </w:r>
      <w:r w:rsidRPr="00BD7C97">
        <w:rPr>
          <w:rFonts w:ascii="Verdana" w:hAnsi="Verdana"/>
          <w:sz w:val="18"/>
          <w:szCs w:val="18"/>
          <w:lang w:val="fr-FR"/>
        </w:rPr>
        <w:t>H.T. et le projet d’installation de bornes de service et de station sanitaire écologique</w:t>
      </w:r>
      <w:r w:rsidR="00494BDE">
        <w:rPr>
          <w:rFonts w:ascii="Verdana" w:hAnsi="Verdana"/>
          <w:sz w:val="18"/>
          <w:szCs w:val="18"/>
          <w:lang w:val="fr-FR"/>
        </w:rPr>
        <w:t xml:space="preserve"> </w:t>
      </w:r>
      <w:r w:rsidRPr="00BD7C97">
        <w:rPr>
          <w:rFonts w:ascii="Verdana" w:hAnsi="Verdana"/>
          <w:sz w:val="18"/>
          <w:szCs w:val="18"/>
          <w:lang w:val="fr-FR"/>
        </w:rPr>
        <w:t>pour camping-cars pour un montant total estimatif de 16.713,00 euros H.T. Il sollicite</w:t>
      </w:r>
      <w:r w:rsidR="00494BDE">
        <w:rPr>
          <w:rFonts w:ascii="Verdana" w:hAnsi="Verdana"/>
          <w:sz w:val="18"/>
          <w:szCs w:val="18"/>
          <w:lang w:val="fr-FR"/>
        </w:rPr>
        <w:t xml:space="preserve"> </w:t>
      </w:r>
      <w:r w:rsidRPr="00BD7C97">
        <w:rPr>
          <w:rFonts w:ascii="Verdana" w:hAnsi="Verdana"/>
          <w:sz w:val="18"/>
          <w:szCs w:val="18"/>
          <w:lang w:val="fr-FR"/>
        </w:rPr>
        <w:t>des subventions du Conseil Départemental de la Haute-Savoie au taux le plus élevé</w:t>
      </w:r>
    </w:p>
    <w:p w14:paraId="3227D602" w14:textId="1485364E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possible pour leur financement dans le cadre des cont</w:t>
      </w:r>
      <w:r w:rsidR="00494BDE">
        <w:rPr>
          <w:rFonts w:ascii="Verdana" w:hAnsi="Verdana"/>
          <w:sz w:val="18"/>
          <w:szCs w:val="18"/>
          <w:lang w:val="fr-FR"/>
        </w:rPr>
        <w:t xml:space="preserve">rats départementaux d’avenir et </w:t>
      </w:r>
      <w:r w:rsidRPr="00BD7C97">
        <w:rPr>
          <w:rFonts w:ascii="Verdana" w:hAnsi="Verdana"/>
          <w:sz w:val="18"/>
          <w:szCs w:val="18"/>
          <w:lang w:val="fr-FR"/>
        </w:rPr>
        <w:t>de solidarité.</w:t>
      </w:r>
    </w:p>
    <w:p w14:paraId="4B71D20C" w14:textId="77777777" w:rsidR="00494BDE" w:rsidRDefault="00494BDE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578D37F1" w14:textId="6DC48F2E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3) Modifie les tarifs Eté des remontées mécaniques ainsi que les tarifs des forfaits VTT à</w:t>
      </w:r>
      <w:r w:rsidR="00494BDE">
        <w:rPr>
          <w:rFonts w:ascii="Verdana" w:hAnsi="Verdana"/>
          <w:sz w:val="18"/>
          <w:szCs w:val="18"/>
          <w:lang w:val="fr-FR"/>
        </w:rPr>
        <w:t xml:space="preserve"> </w:t>
      </w:r>
      <w:r w:rsidRPr="00BD7C97">
        <w:rPr>
          <w:rFonts w:ascii="Verdana" w:hAnsi="Verdana"/>
          <w:sz w:val="18"/>
          <w:szCs w:val="18"/>
          <w:lang w:val="fr-FR"/>
        </w:rPr>
        <w:t>compter du 1 er Mai 2021</w:t>
      </w:r>
    </w:p>
    <w:p w14:paraId="6894057A" w14:textId="77777777" w:rsidR="00494BDE" w:rsidRDefault="00494BDE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5FA7F29D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4) Fixe les tarifs de l’activité Bobkart à compter du 1 er Mai 2021</w:t>
      </w:r>
    </w:p>
    <w:p w14:paraId="11A30179" w14:textId="77777777" w:rsidR="00494BDE" w:rsidRDefault="00494BDE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4913579D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5) Approuve le bilan des acquisitions et cessions immobilières de l’année 2020</w:t>
      </w:r>
    </w:p>
    <w:p w14:paraId="357C44DE" w14:textId="77777777" w:rsidR="00494BDE" w:rsidRDefault="00494BDE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0614EF11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6) Approuve le bilan des actions de formation des élus au cours de l’année 2020</w:t>
      </w:r>
    </w:p>
    <w:p w14:paraId="7B6ABE2E" w14:textId="77777777" w:rsidR="00494BDE" w:rsidRDefault="00494BDE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3D59F472" w14:textId="6203CAF2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7) Ne souhaite pas que le Maire exerce le droit de préemption urbain dans le cadre des</w:t>
      </w:r>
      <w:r w:rsidR="00494BDE">
        <w:rPr>
          <w:rFonts w:ascii="Verdana" w:hAnsi="Verdana"/>
          <w:sz w:val="18"/>
          <w:szCs w:val="18"/>
          <w:lang w:val="fr-FR"/>
        </w:rPr>
        <w:t xml:space="preserve"> </w:t>
      </w:r>
      <w:r w:rsidRPr="00BD7C97">
        <w:rPr>
          <w:rFonts w:ascii="Verdana" w:hAnsi="Verdana"/>
          <w:sz w:val="18"/>
          <w:szCs w:val="18"/>
          <w:lang w:val="fr-FR"/>
        </w:rPr>
        <w:t>ventes suivantes :</w:t>
      </w:r>
    </w:p>
    <w:p w14:paraId="3F039474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. parcelle cadastrée section A sous le numéro 1785 lieudit Vers la Scie</w:t>
      </w:r>
    </w:p>
    <w:p w14:paraId="7A3FC628" w14:textId="481F3B4D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. parcelles cadastrées section D sous les numéros 28</w:t>
      </w:r>
      <w:r w:rsidR="00494BDE">
        <w:rPr>
          <w:rFonts w:ascii="Verdana" w:hAnsi="Verdana"/>
          <w:sz w:val="18"/>
          <w:szCs w:val="18"/>
          <w:lang w:val="fr-FR"/>
        </w:rPr>
        <w:t xml:space="preserve">03, 2807, 2808 et 2812 sises 78 </w:t>
      </w:r>
      <w:r w:rsidRPr="00BD7C97">
        <w:rPr>
          <w:rFonts w:ascii="Verdana" w:hAnsi="Verdana"/>
          <w:sz w:val="18"/>
          <w:szCs w:val="18"/>
          <w:lang w:val="fr-FR"/>
        </w:rPr>
        <w:t>Route du Télésiège</w:t>
      </w:r>
    </w:p>
    <w:p w14:paraId="0D2C23AC" w14:textId="5051F399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. parcelles cadastrées section D sous les numéros 2804, 2809, 2810 et 2813 lieu</w:t>
      </w:r>
      <w:r w:rsidR="00494BDE">
        <w:rPr>
          <w:rFonts w:ascii="Verdana" w:hAnsi="Verdana"/>
          <w:sz w:val="18"/>
          <w:szCs w:val="18"/>
          <w:lang w:val="fr-FR"/>
        </w:rPr>
        <w:t>-</w:t>
      </w:r>
      <w:r w:rsidRPr="00BD7C97">
        <w:rPr>
          <w:rFonts w:ascii="Verdana" w:hAnsi="Verdana"/>
          <w:sz w:val="18"/>
          <w:szCs w:val="18"/>
          <w:lang w:val="fr-FR"/>
        </w:rPr>
        <w:t>dit</w:t>
      </w:r>
      <w:r w:rsidR="00494BDE">
        <w:rPr>
          <w:rFonts w:ascii="Verdana" w:hAnsi="Verdana"/>
          <w:sz w:val="18"/>
          <w:szCs w:val="18"/>
          <w:lang w:val="fr-FR"/>
        </w:rPr>
        <w:t xml:space="preserve"> </w:t>
      </w:r>
      <w:r w:rsidRPr="00BD7C97">
        <w:rPr>
          <w:rFonts w:ascii="Verdana" w:hAnsi="Verdana"/>
          <w:sz w:val="18"/>
          <w:szCs w:val="18"/>
          <w:lang w:val="fr-FR"/>
        </w:rPr>
        <w:t>Langin</w:t>
      </w:r>
    </w:p>
    <w:p w14:paraId="490EDA21" w14:textId="77777777" w:rsidR="00494BDE" w:rsidRDefault="00494BDE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716132C1" w14:textId="77777777" w:rsidR="00BD7C97" w:rsidRPr="00BD7C9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8) Discute d’affaires diverses</w:t>
      </w:r>
    </w:p>
    <w:p w14:paraId="2E565BC1" w14:textId="59D301B9" w:rsidR="00B007DF" w:rsidRPr="00791637" w:rsidRDefault="00BD7C97" w:rsidP="00BD7C97">
      <w:pPr>
        <w:spacing w:line="360" w:lineRule="auto"/>
        <w:rPr>
          <w:rFonts w:ascii="Verdana" w:hAnsi="Verdana"/>
          <w:sz w:val="18"/>
          <w:szCs w:val="18"/>
          <w:lang w:val="fr-FR"/>
        </w:rPr>
      </w:pPr>
      <w:r w:rsidRPr="00BD7C97">
        <w:rPr>
          <w:rFonts w:ascii="Verdana" w:hAnsi="Verdana"/>
          <w:sz w:val="18"/>
          <w:szCs w:val="18"/>
          <w:lang w:val="fr-FR"/>
        </w:rPr>
        <w:t>Transformation d’un ancien centre de vacances en appartement à Bénand.</w:t>
      </w:r>
    </w:p>
    <w:sectPr w:rsidR="00B007DF" w:rsidRPr="00791637" w:rsidSect="007379E0">
      <w:pgSz w:w="11900" w:h="16840"/>
      <w:pgMar w:top="851" w:right="985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329"/>
    <w:multiLevelType w:val="hybridMultilevel"/>
    <w:tmpl w:val="63E02884"/>
    <w:lvl w:ilvl="0" w:tplc="D55CD5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6D065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F4C25"/>
    <w:multiLevelType w:val="hybridMultilevel"/>
    <w:tmpl w:val="DBA00C6C"/>
    <w:lvl w:ilvl="0" w:tplc="E16A5EA8">
      <w:numFmt w:val="decimal"/>
      <w:lvlText w:val=""/>
      <w:lvlJc w:val="left"/>
    </w:lvl>
    <w:lvl w:ilvl="1" w:tplc="040C0003">
      <w:numFmt w:val="decimal"/>
      <w:lvlText w:val=""/>
      <w:lvlJc w:val="left"/>
    </w:lvl>
    <w:lvl w:ilvl="2" w:tplc="539AA6A2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3" w:tplc="539AA6A2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4" w:tplc="34C621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5" w:tplc="539AA6A2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6" w:tplc="040C0001">
      <w:numFmt w:val="decimal"/>
      <w:lvlText w:val=""/>
      <w:lvlJc w:val="left"/>
    </w:lvl>
    <w:lvl w:ilvl="7" w:tplc="040C0003">
      <w:numFmt w:val="decimal"/>
      <w:lvlText w:val=""/>
      <w:lvlJc w:val="left"/>
    </w:lvl>
    <w:lvl w:ilvl="8" w:tplc="040C0005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51"/>
    <w:rsid w:val="0002400A"/>
    <w:rsid w:val="00083936"/>
    <w:rsid w:val="00096907"/>
    <w:rsid w:val="000F0CAA"/>
    <w:rsid w:val="00145AF9"/>
    <w:rsid w:val="001B11B9"/>
    <w:rsid w:val="001B23D1"/>
    <w:rsid w:val="002D72A0"/>
    <w:rsid w:val="002D7F5F"/>
    <w:rsid w:val="0041456A"/>
    <w:rsid w:val="0043090D"/>
    <w:rsid w:val="00494BDE"/>
    <w:rsid w:val="00505D31"/>
    <w:rsid w:val="00626C47"/>
    <w:rsid w:val="00640694"/>
    <w:rsid w:val="00663522"/>
    <w:rsid w:val="006724A5"/>
    <w:rsid w:val="00697F3D"/>
    <w:rsid w:val="006A029E"/>
    <w:rsid w:val="006B4580"/>
    <w:rsid w:val="006C2F88"/>
    <w:rsid w:val="007379E0"/>
    <w:rsid w:val="00761A64"/>
    <w:rsid w:val="00791637"/>
    <w:rsid w:val="0079589E"/>
    <w:rsid w:val="007A2B3F"/>
    <w:rsid w:val="007C5234"/>
    <w:rsid w:val="008106ED"/>
    <w:rsid w:val="008A16CA"/>
    <w:rsid w:val="008F0EF5"/>
    <w:rsid w:val="009112D9"/>
    <w:rsid w:val="009569B4"/>
    <w:rsid w:val="00A154F4"/>
    <w:rsid w:val="00A4077A"/>
    <w:rsid w:val="00A52C82"/>
    <w:rsid w:val="00A638D4"/>
    <w:rsid w:val="00AC6848"/>
    <w:rsid w:val="00B007DF"/>
    <w:rsid w:val="00B909D6"/>
    <w:rsid w:val="00BD7C97"/>
    <w:rsid w:val="00C527FC"/>
    <w:rsid w:val="00CD530C"/>
    <w:rsid w:val="00D46226"/>
    <w:rsid w:val="00D658DB"/>
    <w:rsid w:val="00DD3EDB"/>
    <w:rsid w:val="00E90B96"/>
    <w:rsid w:val="00EB0AAE"/>
    <w:rsid w:val="00EF1F51"/>
    <w:rsid w:val="00F64E92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4E6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2115</Characters>
  <Application>Microsoft Macintosh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6</cp:revision>
  <cp:lastPrinted>2020-09-16T09:29:00Z</cp:lastPrinted>
  <dcterms:created xsi:type="dcterms:W3CDTF">2021-04-19T11:21:00Z</dcterms:created>
  <dcterms:modified xsi:type="dcterms:W3CDTF">2021-04-22T05:51:00Z</dcterms:modified>
</cp:coreProperties>
</file>